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FE0E" w14:textId="77777777" w:rsidR="007A040B" w:rsidRDefault="00000000">
      <w:pPr>
        <w:pStyle w:val="Naslov1"/>
        <w:spacing w:before="37" w:line="259" w:lineRule="auto"/>
      </w:pPr>
      <w:r>
        <w:rPr>
          <w:u w:val="single"/>
        </w:rPr>
        <w:t>The amount of tourist tax per person and overnight stay and of the annual sojourn tax lump sum</w:t>
      </w:r>
      <w:r>
        <w:t xml:space="preserve"> </w:t>
      </w:r>
      <w:r>
        <w:rPr>
          <w:u w:val="single"/>
        </w:rPr>
        <w:t>for the town of Rovinj in</w:t>
      </w:r>
    </w:p>
    <w:p w14:paraId="214C52A1" w14:textId="67EE204E" w:rsidR="007A040B" w:rsidRDefault="00000000">
      <w:pPr>
        <w:pStyle w:val="Naslov"/>
        <w:rPr>
          <w:u w:val="none"/>
        </w:rPr>
      </w:pPr>
      <w:r>
        <w:t>202</w:t>
      </w:r>
      <w:r w:rsidR="009907EB">
        <w:t>2</w:t>
      </w:r>
    </w:p>
    <w:p w14:paraId="080AA16A" w14:textId="77777777" w:rsidR="007A040B" w:rsidRDefault="007A040B">
      <w:pPr>
        <w:pStyle w:val="Tijeloteksta"/>
        <w:rPr>
          <w:b/>
          <w:sz w:val="20"/>
        </w:rPr>
      </w:pPr>
    </w:p>
    <w:p w14:paraId="1ADF1875" w14:textId="77777777" w:rsidR="007A040B" w:rsidRDefault="007A040B">
      <w:pPr>
        <w:pStyle w:val="Tijeloteksta"/>
        <w:spacing w:before="2"/>
        <w:rPr>
          <w:b/>
          <w:sz w:val="19"/>
        </w:rPr>
      </w:pPr>
    </w:p>
    <w:p w14:paraId="7BB9F5C6" w14:textId="77777777" w:rsidR="007A040B" w:rsidRDefault="00000000">
      <w:pPr>
        <w:pStyle w:val="Naslov1"/>
        <w:spacing w:line="259" w:lineRule="auto"/>
        <w:ind w:right="227"/>
      </w:pPr>
      <w:r>
        <w:t>Tourist tax for persons receiving an overnight accommodation service in an accommodation establishment where hospitality activities are performed:</w:t>
      </w:r>
    </w:p>
    <w:p w14:paraId="2816B2C1" w14:textId="77777777" w:rsidR="007A040B" w:rsidRDefault="00000000">
      <w:pPr>
        <w:pStyle w:val="Odlomakpopisa"/>
        <w:numPr>
          <w:ilvl w:val="0"/>
          <w:numId w:val="1"/>
        </w:numPr>
        <w:tabs>
          <w:tab w:val="left" w:pos="254"/>
        </w:tabs>
        <w:spacing w:before="159" w:line="259" w:lineRule="auto"/>
        <w:ind w:right="116" w:firstLine="0"/>
      </w:pPr>
      <w:r>
        <w:t>Per overnight stay in an accommodation establishment where hospitality activities are performed (per person):</w:t>
      </w:r>
    </w:p>
    <w:p w14:paraId="09D4597A" w14:textId="77777777" w:rsidR="007A040B" w:rsidRDefault="007A040B">
      <w:pPr>
        <w:pStyle w:val="Tijeloteksta"/>
        <w:spacing w:before="1"/>
        <w:rPr>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7A040B" w14:paraId="57780E89" w14:textId="77777777">
        <w:trPr>
          <w:trHeight w:val="268"/>
        </w:trPr>
        <w:tc>
          <w:tcPr>
            <w:tcW w:w="4532" w:type="dxa"/>
          </w:tcPr>
          <w:p w14:paraId="32795C1D" w14:textId="77777777" w:rsidR="007A040B" w:rsidRDefault="00000000">
            <w:pPr>
              <w:pStyle w:val="TableParagraph"/>
              <w:ind w:right="765"/>
            </w:pPr>
            <w:r>
              <w:t>From 1 April until 30 September</w:t>
            </w:r>
          </w:p>
        </w:tc>
        <w:tc>
          <w:tcPr>
            <w:tcW w:w="4532" w:type="dxa"/>
          </w:tcPr>
          <w:p w14:paraId="74CF8040" w14:textId="77777777" w:rsidR="007A040B" w:rsidRDefault="00000000">
            <w:pPr>
              <w:pStyle w:val="TableParagraph"/>
            </w:pPr>
            <w:r>
              <w:t>Outside that period</w:t>
            </w:r>
          </w:p>
        </w:tc>
      </w:tr>
      <w:tr w:rsidR="007A040B" w14:paraId="19FB08BD" w14:textId="77777777">
        <w:trPr>
          <w:trHeight w:val="270"/>
        </w:trPr>
        <w:tc>
          <w:tcPr>
            <w:tcW w:w="4532" w:type="dxa"/>
          </w:tcPr>
          <w:p w14:paraId="33D27E34" w14:textId="1856F7BE" w:rsidR="007A040B" w:rsidRDefault="00000000">
            <w:pPr>
              <w:pStyle w:val="TableParagraph"/>
              <w:spacing w:before="1" w:line="249" w:lineRule="exact"/>
              <w:ind w:right="766"/>
            </w:pPr>
            <w:r>
              <w:t>HRK 10.00</w:t>
            </w:r>
            <w:r w:rsidR="00D965D9">
              <w:t xml:space="preserve"> </w:t>
            </w:r>
            <w:r w:rsidR="00B65639">
              <w:t>(EUR 1.33)</w:t>
            </w:r>
          </w:p>
        </w:tc>
        <w:tc>
          <w:tcPr>
            <w:tcW w:w="4532" w:type="dxa"/>
          </w:tcPr>
          <w:p w14:paraId="2D4061F7" w14:textId="5BA22D61" w:rsidR="007A040B" w:rsidRDefault="00000000">
            <w:pPr>
              <w:pStyle w:val="TableParagraph"/>
              <w:spacing w:before="1" w:line="249" w:lineRule="exact"/>
            </w:pPr>
            <w:r>
              <w:t>HRK 7.00</w:t>
            </w:r>
            <w:r w:rsidR="00B65639">
              <w:t xml:space="preserve"> (EUR 0.93)</w:t>
            </w:r>
          </w:p>
        </w:tc>
      </w:tr>
    </w:tbl>
    <w:p w14:paraId="4E8B037D" w14:textId="77777777" w:rsidR="007A040B" w:rsidRDefault="007A040B">
      <w:pPr>
        <w:pStyle w:val="Tijeloteksta"/>
      </w:pPr>
    </w:p>
    <w:p w14:paraId="4611C187" w14:textId="77777777" w:rsidR="007A040B" w:rsidRDefault="00000000">
      <w:pPr>
        <w:pStyle w:val="Odlomakpopisa"/>
        <w:numPr>
          <w:ilvl w:val="0"/>
          <w:numId w:val="1"/>
        </w:numPr>
        <w:tabs>
          <w:tab w:val="left" w:pos="263"/>
        </w:tabs>
        <w:spacing w:before="179" w:line="259" w:lineRule="auto"/>
        <w:ind w:right="113" w:firstLine="0"/>
      </w:pPr>
      <w:r>
        <w:t>Per overnight stay in an accommodation establishment categorized as Camps (Camps and Camp resorts) (per person):</w:t>
      </w:r>
    </w:p>
    <w:p w14:paraId="323A4032" w14:textId="77777777" w:rsidR="007A040B" w:rsidRDefault="007A040B">
      <w:pPr>
        <w:pStyle w:val="Tijeloteksta"/>
        <w:spacing w:before="2"/>
        <w:rPr>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7A040B" w14:paraId="737E9BBD" w14:textId="77777777">
        <w:trPr>
          <w:trHeight w:val="268"/>
        </w:trPr>
        <w:tc>
          <w:tcPr>
            <w:tcW w:w="4532" w:type="dxa"/>
          </w:tcPr>
          <w:p w14:paraId="7FBD8412" w14:textId="77777777" w:rsidR="007A040B" w:rsidRDefault="00000000">
            <w:pPr>
              <w:pStyle w:val="TableParagraph"/>
              <w:ind w:right="765"/>
            </w:pPr>
            <w:r>
              <w:t>From 1 April until 30 September</w:t>
            </w:r>
          </w:p>
        </w:tc>
        <w:tc>
          <w:tcPr>
            <w:tcW w:w="4532" w:type="dxa"/>
          </w:tcPr>
          <w:p w14:paraId="24809270" w14:textId="77777777" w:rsidR="007A040B" w:rsidRDefault="00000000">
            <w:pPr>
              <w:pStyle w:val="TableParagraph"/>
            </w:pPr>
            <w:r>
              <w:t>Outside that period</w:t>
            </w:r>
          </w:p>
        </w:tc>
      </w:tr>
      <w:tr w:rsidR="007A040B" w14:paraId="32F4A48F" w14:textId="77777777">
        <w:trPr>
          <w:trHeight w:val="270"/>
        </w:trPr>
        <w:tc>
          <w:tcPr>
            <w:tcW w:w="4532" w:type="dxa"/>
          </w:tcPr>
          <w:p w14:paraId="5B29A5AF" w14:textId="00407FE1" w:rsidR="007A040B" w:rsidRDefault="00000000">
            <w:pPr>
              <w:pStyle w:val="TableParagraph"/>
              <w:spacing w:line="251" w:lineRule="exact"/>
              <w:ind w:right="764"/>
            </w:pPr>
            <w:r>
              <w:t>HRK 8.</w:t>
            </w:r>
            <w:r w:rsidR="007E297E">
              <w:t>0</w:t>
            </w:r>
            <w:r>
              <w:t>0</w:t>
            </w:r>
            <w:r w:rsidR="00B65639">
              <w:t xml:space="preserve"> (EUR 1.</w:t>
            </w:r>
            <w:r w:rsidR="007E297E">
              <w:t>06</w:t>
            </w:r>
            <w:r w:rsidR="00B65639">
              <w:t>)</w:t>
            </w:r>
          </w:p>
        </w:tc>
        <w:tc>
          <w:tcPr>
            <w:tcW w:w="4532" w:type="dxa"/>
          </w:tcPr>
          <w:p w14:paraId="67C60682" w14:textId="421D5970" w:rsidR="007A040B" w:rsidRDefault="00000000">
            <w:pPr>
              <w:pStyle w:val="TableParagraph"/>
              <w:spacing w:line="251" w:lineRule="exact"/>
            </w:pPr>
            <w:r>
              <w:t>HRK 5.00</w:t>
            </w:r>
            <w:r w:rsidR="00B65639">
              <w:t xml:space="preserve"> (EUR 0.66)</w:t>
            </w:r>
          </w:p>
        </w:tc>
      </w:tr>
    </w:tbl>
    <w:p w14:paraId="6E59DB09" w14:textId="77777777" w:rsidR="007A040B" w:rsidRDefault="007A040B">
      <w:pPr>
        <w:pStyle w:val="Tijeloteksta"/>
      </w:pPr>
    </w:p>
    <w:p w14:paraId="0834E75A" w14:textId="77777777" w:rsidR="007A040B" w:rsidRDefault="00000000">
      <w:pPr>
        <w:pStyle w:val="Naslov1"/>
        <w:spacing w:before="179" w:line="259" w:lineRule="auto"/>
        <w:ind w:right="228"/>
      </w:pPr>
      <w:r>
        <w:t>Tourist tax for persons providing hospitality services in a household or a family farm in an annual lump sum amounts to:</w:t>
      </w:r>
    </w:p>
    <w:p w14:paraId="709C1D91" w14:textId="77777777" w:rsidR="007A040B" w:rsidRDefault="00000000">
      <w:pPr>
        <w:pStyle w:val="Odlomakpopisa"/>
        <w:numPr>
          <w:ilvl w:val="0"/>
          <w:numId w:val="1"/>
        </w:numPr>
        <w:tabs>
          <w:tab w:val="left" w:pos="235"/>
        </w:tabs>
        <w:ind w:left="234" w:hanging="119"/>
      </w:pPr>
      <w:r>
        <w:t>Per</w:t>
      </w:r>
      <w:r>
        <w:rPr>
          <w:spacing w:val="-2"/>
        </w:rPr>
        <w:t xml:space="preserve"> </w:t>
      </w:r>
      <w:r>
        <w:t>bed:</w:t>
      </w:r>
    </w:p>
    <w:p w14:paraId="30273485" w14:textId="77777777" w:rsidR="007A040B" w:rsidRDefault="007A040B">
      <w:pPr>
        <w:pStyle w:val="Tijeloteksta"/>
        <w:spacing w:before="10"/>
        <w:rPr>
          <w:sz w:val="1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7A040B" w14:paraId="2ADCF15C" w14:textId="77777777">
        <w:trPr>
          <w:trHeight w:val="268"/>
        </w:trPr>
        <w:tc>
          <w:tcPr>
            <w:tcW w:w="4532" w:type="dxa"/>
          </w:tcPr>
          <w:p w14:paraId="6B169B12" w14:textId="77777777" w:rsidR="007A040B" w:rsidRDefault="00000000">
            <w:pPr>
              <w:pStyle w:val="TableParagraph"/>
              <w:ind w:right="767"/>
            </w:pPr>
            <w:r>
              <w:t>Accommodation in a household</w:t>
            </w:r>
          </w:p>
        </w:tc>
        <w:tc>
          <w:tcPr>
            <w:tcW w:w="4532" w:type="dxa"/>
          </w:tcPr>
          <w:p w14:paraId="5D47E9B0" w14:textId="77777777" w:rsidR="007A040B" w:rsidRDefault="00000000">
            <w:pPr>
              <w:pStyle w:val="TableParagraph"/>
              <w:ind w:right="772"/>
            </w:pPr>
            <w:r>
              <w:t>Accommodation at a family farm</w:t>
            </w:r>
          </w:p>
        </w:tc>
      </w:tr>
      <w:tr w:rsidR="007A040B" w14:paraId="5E7BBFD9" w14:textId="77777777">
        <w:trPr>
          <w:trHeight w:val="268"/>
        </w:trPr>
        <w:tc>
          <w:tcPr>
            <w:tcW w:w="4532" w:type="dxa"/>
          </w:tcPr>
          <w:p w14:paraId="792429E4" w14:textId="6A6ADF61" w:rsidR="007A040B" w:rsidRDefault="00000000">
            <w:pPr>
              <w:pStyle w:val="TableParagraph"/>
              <w:ind w:right="766"/>
            </w:pPr>
            <w:r>
              <w:t>HRK 350.00</w:t>
            </w:r>
            <w:r w:rsidR="00B65639">
              <w:t xml:space="preserve"> (EUR 46.45)</w:t>
            </w:r>
          </w:p>
        </w:tc>
        <w:tc>
          <w:tcPr>
            <w:tcW w:w="4532" w:type="dxa"/>
          </w:tcPr>
          <w:p w14:paraId="7B67F700" w14:textId="4139C6BB" w:rsidR="007A040B" w:rsidRDefault="00000000">
            <w:pPr>
              <w:pStyle w:val="TableParagraph"/>
              <w:ind w:right="772"/>
            </w:pPr>
            <w:r>
              <w:t>HRK 200.00</w:t>
            </w:r>
            <w:r w:rsidR="00B65639">
              <w:t xml:space="preserve"> (EUR 26.54)</w:t>
            </w:r>
          </w:p>
        </w:tc>
      </w:tr>
    </w:tbl>
    <w:p w14:paraId="4C7BC39E" w14:textId="77777777" w:rsidR="007A040B" w:rsidRDefault="007A040B">
      <w:pPr>
        <w:pStyle w:val="Tijeloteksta"/>
      </w:pPr>
    </w:p>
    <w:p w14:paraId="430C71CB" w14:textId="77777777" w:rsidR="007A040B" w:rsidRDefault="00000000">
      <w:pPr>
        <w:pStyle w:val="Odlomakpopisa"/>
        <w:numPr>
          <w:ilvl w:val="0"/>
          <w:numId w:val="1"/>
        </w:numPr>
        <w:tabs>
          <w:tab w:val="left" w:pos="235"/>
        </w:tabs>
        <w:spacing w:before="182"/>
        <w:ind w:left="234" w:hanging="119"/>
      </w:pPr>
      <w:r>
        <w:t>Per each accommodation</w:t>
      </w:r>
      <w:r>
        <w:rPr>
          <w:spacing w:val="-7"/>
        </w:rPr>
        <w:t xml:space="preserve"> </w:t>
      </w:r>
      <w:r>
        <w:t>unit:</w:t>
      </w:r>
    </w:p>
    <w:p w14:paraId="4F765A14" w14:textId="77777777" w:rsidR="007A040B" w:rsidRDefault="007A040B">
      <w:pPr>
        <w:pStyle w:val="Tijeloteksta"/>
        <w:spacing w:before="10"/>
        <w:rPr>
          <w:sz w:val="1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7"/>
        <w:gridCol w:w="4837"/>
      </w:tblGrid>
      <w:tr w:rsidR="007A040B" w14:paraId="5272B484" w14:textId="77777777">
        <w:trPr>
          <w:trHeight w:val="806"/>
        </w:trPr>
        <w:tc>
          <w:tcPr>
            <w:tcW w:w="4227" w:type="dxa"/>
          </w:tcPr>
          <w:p w14:paraId="0A6A893C" w14:textId="77777777" w:rsidR="007A040B" w:rsidRDefault="00000000" w:rsidP="00B65639">
            <w:pPr>
              <w:pStyle w:val="TableParagraph"/>
              <w:spacing w:line="240" w:lineRule="auto"/>
              <w:ind w:left="170" w:right="140" w:firstLine="69"/>
            </w:pPr>
            <w:r>
              <w:t>Accommodation in a household in a camp and a camping site facility or a camping site</w:t>
            </w:r>
          </w:p>
          <w:p w14:paraId="341F7FB7" w14:textId="77777777" w:rsidR="007A040B" w:rsidRDefault="00000000" w:rsidP="00B65639">
            <w:pPr>
              <w:pStyle w:val="TableParagraph"/>
              <w:spacing w:line="249" w:lineRule="exact"/>
              <w:ind w:left="285" w:right="0"/>
            </w:pPr>
            <w:r>
              <w:t>– Robinson Crusoe-style accommodation</w:t>
            </w:r>
          </w:p>
        </w:tc>
        <w:tc>
          <w:tcPr>
            <w:tcW w:w="4837" w:type="dxa"/>
          </w:tcPr>
          <w:p w14:paraId="37735CCF" w14:textId="77777777" w:rsidR="007A040B" w:rsidRDefault="00000000" w:rsidP="00B65639">
            <w:pPr>
              <w:pStyle w:val="TableParagraph"/>
              <w:spacing w:line="240" w:lineRule="auto"/>
              <w:ind w:left="222" w:right="210" w:hanging="2"/>
            </w:pPr>
            <w:r>
              <w:t>Accommodation at a family farm in a camp and a camping site facility or a camping site – Robinson</w:t>
            </w:r>
          </w:p>
          <w:p w14:paraId="5FBC360F" w14:textId="77777777" w:rsidR="007A040B" w:rsidRDefault="00000000" w:rsidP="00B65639">
            <w:pPr>
              <w:pStyle w:val="TableParagraph"/>
              <w:spacing w:line="249" w:lineRule="exact"/>
              <w:ind w:left="1091" w:right="1085"/>
            </w:pPr>
            <w:r>
              <w:t>Crusoe-style accommodation</w:t>
            </w:r>
          </w:p>
        </w:tc>
      </w:tr>
      <w:tr w:rsidR="007A040B" w14:paraId="2193088C" w14:textId="77777777">
        <w:trPr>
          <w:trHeight w:val="268"/>
        </w:trPr>
        <w:tc>
          <w:tcPr>
            <w:tcW w:w="4227" w:type="dxa"/>
          </w:tcPr>
          <w:p w14:paraId="15840858" w14:textId="24F605A5" w:rsidR="007A040B" w:rsidRDefault="00B65639" w:rsidP="00B65639">
            <w:pPr>
              <w:pStyle w:val="TableParagraph"/>
              <w:ind w:left="0" w:right="1567"/>
            </w:pPr>
            <w:r>
              <w:t xml:space="preserve">          HRK 500.00 (EUR 66.36)</w:t>
            </w:r>
          </w:p>
        </w:tc>
        <w:tc>
          <w:tcPr>
            <w:tcW w:w="4837" w:type="dxa"/>
          </w:tcPr>
          <w:p w14:paraId="0540CA06" w14:textId="2417F2CA" w:rsidR="007A040B" w:rsidRDefault="00000000" w:rsidP="00B65639">
            <w:pPr>
              <w:pStyle w:val="TableParagraph"/>
              <w:ind w:left="1091" w:right="1081"/>
              <w:jc w:val="left"/>
            </w:pPr>
            <w:r>
              <w:t>HRK 250.00</w:t>
            </w:r>
            <w:r w:rsidR="00B65639">
              <w:t xml:space="preserve"> (EUR 33.18)</w:t>
            </w:r>
          </w:p>
        </w:tc>
      </w:tr>
    </w:tbl>
    <w:p w14:paraId="20BB9776" w14:textId="77777777" w:rsidR="007A040B" w:rsidRDefault="007A040B">
      <w:pPr>
        <w:pStyle w:val="Tijeloteksta"/>
        <w:spacing w:before="11"/>
        <w:rPr>
          <w:sz w:val="21"/>
        </w:rPr>
      </w:pPr>
    </w:p>
    <w:p w14:paraId="57AE50F9" w14:textId="77777777" w:rsidR="007A040B" w:rsidRDefault="00000000">
      <w:pPr>
        <w:pStyle w:val="Tijeloteksta"/>
        <w:ind w:left="116" w:right="111"/>
        <w:jc w:val="both"/>
      </w:pPr>
      <w:r>
        <w:t>The capacity, that is, the number of guests in a camping site facility or a camping site – Robinson Crusoe-style accommodation is determined by the number of guests that can safely stay there, with the maximum of ten accommodation units, i.e., 30 guests at the same time, not including children under</w:t>
      </w:r>
      <w:r>
        <w:rPr>
          <w:spacing w:val="-3"/>
        </w:rPr>
        <w:t xml:space="preserve"> </w:t>
      </w:r>
      <w:r>
        <w:t>12</w:t>
      </w:r>
      <w:r>
        <w:rPr>
          <w:spacing w:val="-5"/>
        </w:rPr>
        <w:t xml:space="preserve"> </w:t>
      </w:r>
      <w:r>
        <w:t>years</w:t>
      </w:r>
      <w:r>
        <w:rPr>
          <w:spacing w:val="-5"/>
        </w:rPr>
        <w:t xml:space="preserve"> </w:t>
      </w:r>
      <w:r>
        <w:t>of</w:t>
      </w:r>
      <w:r>
        <w:rPr>
          <w:spacing w:val="-3"/>
        </w:rPr>
        <w:t xml:space="preserve"> </w:t>
      </w:r>
      <w:r>
        <w:t>age,</w:t>
      </w:r>
      <w:r>
        <w:rPr>
          <w:spacing w:val="-3"/>
        </w:rPr>
        <w:t xml:space="preserve"> </w:t>
      </w:r>
      <w:r>
        <w:t>and</w:t>
      </w:r>
      <w:r>
        <w:rPr>
          <w:spacing w:val="-5"/>
        </w:rPr>
        <w:t xml:space="preserve"> </w:t>
      </w:r>
      <w:r>
        <w:t>said</w:t>
      </w:r>
      <w:r>
        <w:rPr>
          <w:spacing w:val="-4"/>
        </w:rPr>
        <w:t xml:space="preserve"> </w:t>
      </w:r>
      <w:r>
        <w:t>capacity</w:t>
      </w:r>
      <w:r>
        <w:rPr>
          <w:spacing w:val="-3"/>
        </w:rPr>
        <w:t xml:space="preserve"> </w:t>
      </w:r>
      <w:r>
        <w:t>is</w:t>
      </w:r>
      <w:r>
        <w:rPr>
          <w:spacing w:val="-3"/>
        </w:rPr>
        <w:t xml:space="preserve"> </w:t>
      </w:r>
      <w:r>
        <w:t>defined</w:t>
      </w:r>
      <w:r>
        <w:rPr>
          <w:spacing w:val="-3"/>
        </w:rPr>
        <w:t xml:space="preserve"> </w:t>
      </w:r>
      <w:r>
        <w:t>by</w:t>
      </w:r>
      <w:r>
        <w:rPr>
          <w:spacing w:val="-6"/>
        </w:rPr>
        <w:t xml:space="preserve"> </w:t>
      </w:r>
      <w:r>
        <w:t>a</w:t>
      </w:r>
      <w:r>
        <w:rPr>
          <w:spacing w:val="-3"/>
        </w:rPr>
        <w:t xml:space="preserve"> </w:t>
      </w:r>
      <w:r>
        <w:t>decision</w:t>
      </w:r>
      <w:r>
        <w:rPr>
          <w:spacing w:val="-4"/>
        </w:rPr>
        <w:t xml:space="preserve"> </w:t>
      </w:r>
      <w:r>
        <w:t>of</w:t>
      </w:r>
      <w:r>
        <w:rPr>
          <w:spacing w:val="-6"/>
        </w:rPr>
        <w:t xml:space="preserve"> </w:t>
      </w:r>
      <w:r>
        <w:t>the</w:t>
      </w:r>
      <w:r>
        <w:rPr>
          <w:spacing w:val="-5"/>
        </w:rPr>
        <w:t xml:space="preserve"> </w:t>
      </w:r>
      <w:r>
        <w:t>competent</w:t>
      </w:r>
      <w:r>
        <w:rPr>
          <w:spacing w:val="-3"/>
        </w:rPr>
        <w:t xml:space="preserve"> </w:t>
      </w:r>
      <w:r>
        <w:t>office</w:t>
      </w:r>
      <w:r>
        <w:rPr>
          <w:spacing w:val="-3"/>
        </w:rPr>
        <w:t xml:space="preserve"> </w:t>
      </w:r>
      <w:r>
        <w:t>for</w:t>
      </w:r>
      <w:r>
        <w:rPr>
          <w:spacing w:val="-2"/>
        </w:rPr>
        <w:t xml:space="preserve"> </w:t>
      </w:r>
      <w:r>
        <w:t>approving the provision of hospitality services in a household or a family</w:t>
      </w:r>
      <w:r>
        <w:rPr>
          <w:spacing w:val="-14"/>
        </w:rPr>
        <w:t xml:space="preserve"> </w:t>
      </w:r>
      <w:r>
        <w:t>farm.</w:t>
      </w:r>
    </w:p>
    <w:p w14:paraId="556548C2" w14:textId="77777777" w:rsidR="007A040B" w:rsidRDefault="007A040B">
      <w:pPr>
        <w:pStyle w:val="Tijeloteksta"/>
        <w:spacing w:before="9"/>
        <w:rPr>
          <w:sz w:val="23"/>
        </w:rPr>
      </w:pPr>
    </w:p>
    <w:p w14:paraId="29A50E53" w14:textId="77777777" w:rsidR="007A040B" w:rsidRDefault="00000000">
      <w:pPr>
        <w:pStyle w:val="Naslov1"/>
        <w:spacing w:line="259" w:lineRule="auto"/>
        <w:ind w:left="2576" w:right="428" w:hanging="2141"/>
        <w:jc w:val="left"/>
      </w:pPr>
      <w:r>
        <w:t>Tourist tax that the owner of a holiday house or apartment pays for himself and close family members in an annual lump sum amounts</w:t>
      </w:r>
      <w:r>
        <w:rPr>
          <w:spacing w:val="-9"/>
        </w:rPr>
        <w:t xml:space="preserve"> </w:t>
      </w:r>
      <w:r>
        <w:t>to:</w:t>
      </w:r>
    </w:p>
    <w:p w14:paraId="3C234372" w14:textId="77777777" w:rsidR="007A040B" w:rsidRDefault="007A040B">
      <w:pPr>
        <w:pStyle w:val="Tijeloteksta"/>
        <w:spacing w:before="1" w:after="1"/>
        <w:rPr>
          <w:b/>
          <w:sz w:val="1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4"/>
        <w:gridCol w:w="2849"/>
        <w:gridCol w:w="3171"/>
      </w:tblGrid>
      <w:tr w:rsidR="007A040B" w14:paraId="6634577A" w14:textId="77777777">
        <w:trPr>
          <w:trHeight w:val="270"/>
        </w:trPr>
        <w:tc>
          <w:tcPr>
            <w:tcW w:w="3044" w:type="dxa"/>
          </w:tcPr>
          <w:p w14:paraId="2FDF3638" w14:textId="77777777" w:rsidR="007A040B" w:rsidRDefault="00000000">
            <w:pPr>
              <w:pStyle w:val="TableParagraph"/>
              <w:spacing w:before="1" w:line="249" w:lineRule="exact"/>
              <w:ind w:left="904" w:right="889"/>
            </w:pPr>
            <w:r>
              <w:t>First member</w:t>
            </w:r>
          </w:p>
        </w:tc>
        <w:tc>
          <w:tcPr>
            <w:tcW w:w="2849" w:type="dxa"/>
          </w:tcPr>
          <w:p w14:paraId="212FD8F7" w14:textId="77777777" w:rsidR="007A040B" w:rsidRDefault="00000000">
            <w:pPr>
              <w:pStyle w:val="TableParagraph"/>
              <w:spacing w:before="1" w:line="249" w:lineRule="exact"/>
              <w:ind w:left="671" w:right="664"/>
            </w:pPr>
            <w:r>
              <w:t>Second member</w:t>
            </w:r>
          </w:p>
        </w:tc>
        <w:tc>
          <w:tcPr>
            <w:tcW w:w="3171" w:type="dxa"/>
          </w:tcPr>
          <w:p w14:paraId="43A32E4F" w14:textId="77777777" w:rsidR="007A040B" w:rsidRDefault="00000000">
            <w:pPr>
              <w:pStyle w:val="TableParagraph"/>
              <w:spacing w:before="1" w:line="249" w:lineRule="exact"/>
              <w:ind w:left="404" w:right="389"/>
            </w:pPr>
            <w:r>
              <w:t>Each subsequent member</w:t>
            </w:r>
          </w:p>
        </w:tc>
      </w:tr>
      <w:tr w:rsidR="007A040B" w14:paraId="78547DA8" w14:textId="77777777">
        <w:trPr>
          <w:trHeight w:val="268"/>
        </w:trPr>
        <w:tc>
          <w:tcPr>
            <w:tcW w:w="3044" w:type="dxa"/>
          </w:tcPr>
          <w:p w14:paraId="010CC7CE" w14:textId="271BE1EA" w:rsidR="007A040B" w:rsidRDefault="00000000">
            <w:pPr>
              <w:pStyle w:val="TableParagraph"/>
              <w:ind w:left="901" w:right="889"/>
            </w:pPr>
            <w:r>
              <w:t xml:space="preserve">HRK </w:t>
            </w:r>
            <w:r w:rsidR="00FC1928">
              <w:t>15</w:t>
            </w:r>
            <w:r>
              <w:t>0.00</w:t>
            </w:r>
            <w:r w:rsidR="00B65639">
              <w:t xml:space="preserve"> (EUR </w:t>
            </w:r>
            <w:r w:rsidR="00FC1928">
              <w:t>19.91</w:t>
            </w:r>
            <w:r w:rsidR="00B65639">
              <w:t>)</w:t>
            </w:r>
          </w:p>
        </w:tc>
        <w:tc>
          <w:tcPr>
            <w:tcW w:w="2849" w:type="dxa"/>
          </w:tcPr>
          <w:p w14:paraId="6259CD33" w14:textId="38D002F5" w:rsidR="007A040B" w:rsidRDefault="00000000">
            <w:pPr>
              <w:pStyle w:val="TableParagraph"/>
              <w:ind w:left="671" w:right="661"/>
            </w:pPr>
            <w:r>
              <w:t xml:space="preserve">HRK </w:t>
            </w:r>
            <w:r w:rsidR="00FC1928">
              <w:t>15</w:t>
            </w:r>
            <w:r>
              <w:t>0.00</w:t>
            </w:r>
            <w:r w:rsidR="00B65639">
              <w:t xml:space="preserve"> (EUR </w:t>
            </w:r>
            <w:r w:rsidR="00FC1928">
              <w:t>19.91</w:t>
            </w:r>
            <w:r w:rsidR="00B65639">
              <w:t>)</w:t>
            </w:r>
          </w:p>
        </w:tc>
        <w:tc>
          <w:tcPr>
            <w:tcW w:w="3171" w:type="dxa"/>
          </w:tcPr>
          <w:p w14:paraId="43EA041C" w14:textId="025A1225" w:rsidR="006607E9" w:rsidRDefault="00000000">
            <w:pPr>
              <w:pStyle w:val="TableParagraph"/>
              <w:ind w:left="403" w:right="389"/>
            </w:pPr>
            <w:r>
              <w:t>HRK 1</w:t>
            </w:r>
            <w:r w:rsidR="00FC1928">
              <w:t>0</w:t>
            </w:r>
            <w:r>
              <w:t>0.00</w:t>
            </w:r>
            <w:r w:rsidR="006607E9">
              <w:t xml:space="preserve"> </w:t>
            </w:r>
          </w:p>
          <w:p w14:paraId="2A22138B" w14:textId="3B920C46" w:rsidR="007A040B" w:rsidRDefault="006607E9">
            <w:pPr>
              <w:pStyle w:val="TableParagraph"/>
              <w:ind w:left="403" w:right="389"/>
            </w:pPr>
            <w:r>
              <w:t xml:space="preserve">(EUR </w:t>
            </w:r>
            <w:r w:rsidR="00FC1928">
              <w:t>13.27</w:t>
            </w:r>
            <w:r>
              <w:t>)</w:t>
            </w:r>
          </w:p>
        </w:tc>
      </w:tr>
    </w:tbl>
    <w:p w14:paraId="5C657EC8" w14:textId="77777777" w:rsidR="007A040B" w:rsidRDefault="007A040B">
      <w:pPr>
        <w:pStyle w:val="Tijeloteksta"/>
        <w:spacing w:before="8"/>
        <w:rPr>
          <w:b/>
          <w:sz w:val="23"/>
        </w:rPr>
      </w:pPr>
    </w:p>
    <w:p w14:paraId="3CBD9619" w14:textId="77777777" w:rsidR="007A040B" w:rsidRDefault="00000000">
      <w:pPr>
        <w:pStyle w:val="Tijeloteksta"/>
        <w:spacing w:before="1" w:line="259" w:lineRule="auto"/>
        <w:ind w:left="116" w:right="112"/>
        <w:jc w:val="both"/>
      </w:pPr>
      <w:r>
        <w:t>The smallest and the highest amount of the tourist tax paid by the owner of a holiday house or apartment</w:t>
      </w:r>
      <w:r>
        <w:rPr>
          <w:spacing w:val="-1"/>
        </w:rPr>
        <w:t xml:space="preserve"> </w:t>
      </w:r>
      <w:r>
        <w:t>for</w:t>
      </w:r>
      <w:r>
        <w:rPr>
          <w:spacing w:val="-3"/>
        </w:rPr>
        <w:t xml:space="preserve"> </w:t>
      </w:r>
      <w:r>
        <w:t>himself</w:t>
      </w:r>
      <w:r>
        <w:rPr>
          <w:spacing w:val="-4"/>
        </w:rPr>
        <w:t xml:space="preserve"> </w:t>
      </w:r>
      <w:r>
        <w:t>and</w:t>
      </w:r>
      <w:r>
        <w:rPr>
          <w:spacing w:val="-3"/>
        </w:rPr>
        <w:t xml:space="preserve"> </w:t>
      </w:r>
      <w:r>
        <w:t>any</w:t>
      </w:r>
      <w:r>
        <w:rPr>
          <w:spacing w:val="-3"/>
        </w:rPr>
        <w:t xml:space="preserve"> </w:t>
      </w:r>
      <w:r>
        <w:t>other</w:t>
      </w:r>
      <w:r>
        <w:rPr>
          <w:spacing w:val="-3"/>
        </w:rPr>
        <w:t xml:space="preserve"> </w:t>
      </w:r>
      <w:r>
        <w:t>person</w:t>
      </w:r>
      <w:r>
        <w:rPr>
          <w:spacing w:val="-4"/>
        </w:rPr>
        <w:t xml:space="preserve"> </w:t>
      </w:r>
      <w:r>
        <w:t>staying</w:t>
      </w:r>
      <w:r>
        <w:rPr>
          <w:spacing w:val="-4"/>
        </w:rPr>
        <w:t xml:space="preserve"> </w:t>
      </w:r>
      <w:r>
        <w:t>overnight in</w:t>
      </w:r>
      <w:r>
        <w:rPr>
          <w:spacing w:val="-5"/>
        </w:rPr>
        <w:t xml:space="preserve"> </w:t>
      </w:r>
      <w:r>
        <w:t>such a</w:t>
      </w:r>
      <w:r>
        <w:rPr>
          <w:spacing w:val="-2"/>
        </w:rPr>
        <w:t xml:space="preserve"> </w:t>
      </w:r>
      <w:r>
        <w:t>house</w:t>
      </w:r>
      <w:r>
        <w:rPr>
          <w:spacing w:val="-5"/>
        </w:rPr>
        <w:t xml:space="preserve"> </w:t>
      </w:r>
      <w:r>
        <w:t>or</w:t>
      </w:r>
      <w:r>
        <w:rPr>
          <w:spacing w:val="-2"/>
        </w:rPr>
        <w:t xml:space="preserve"> </w:t>
      </w:r>
      <w:r>
        <w:t>apartment</w:t>
      </w:r>
      <w:r>
        <w:rPr>
          <w:spacing w:val="-2"/>
        </w:rPr>
        <w:t xml:space="preserve"> </w:t>
      </w:r>
      <w:r>
        <w:t>who</w:t>
      </w:r>
      <w:r>
        <w:rPr>
          <w:spacing w:val="-1"/>
        </w:rPr>
        <w:t xml:space="preserve"> </w:t>
      </w:r>
      <w:r>
        <w:t>pays per overnight stay is determined in the amount defined in item 1 for overnight stays in an accommodation establishment where hospitality activities are</w:t>
      </w:r>
      <w:r>
        <w:rPr>
          <w:spacing w:val="-8"/>
        </w:rPr>
        <w:t xml:space="preserve"> </w:t>
      </w:r>
      <w:r>
        <w:t>performed.</w:t>
      </w:r>
    </w:p>
    <w:sectPr w:rsidR="007A040B">
      <w:type w:val="continuous"/>
      <w:pgSz w:w="11910" w:h="16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17970"/>
    <w:multiLevelType w:val="hybridMultilevel"/>
    <w:tmpl w:val="446409B0"/>
    <w:lvl w:ilvl="0" w:tplc="F618A696">
      <w:numFmt w:val="bullet"/>
      <w:lvlText w:val="-"/>
      <w:lvlJc w:val="left"/>
      <w:pPr>
        <w:ind w:left="116" w:hanging="137"/>
      </w:pPr>
      <w:rPr>
        <w:rFonts w:ascii="Carlito" w:eastAsia="Carlito" w:hAnsi="Carlito" w:cs="Carlito" w:hint="default"/>
        <w:w w:val="100"/>
        <w:sz w:val="22"/>
        <w:szCs w:val="22"/>
        <w:lang w:val="en-US" w:eastAsia="en-US" w:bidi="ar-SA"/>
      </w:rPr>
    </w:lvl>
    <w:lvl w:ilvl="1" w:tplc="68389250">
      <w:numFmt w:val="bullet"/>
      <w:lvlText w:val="•"/>
      <w:lvlJc w:val="left"/>
      <w:pPr>
        <w:ind w:left="1038" w:hanging="137"/>
      </w:pPr>
      <w:rPr>
        <w:rFonts w:hint="default"/>
        <w:lang w:val="en-US" w:eastAsia="en-US" w:bidi="ar-SA"/>
      </w:rPr>
    </w:lvl>
    <w:lvl w:ilvl="2" w:tplc="A3242078">
      <w:numFmt w:val="bullet"/>
      <w:lvlText w:val="•"/>
      <w:lvlJc w:val="left"/>
      <w:pPr>
        <w:ind w:left="1957" w:hanging="137"/>
      </w:pPr>
      <w:rPr>
        <w:rFonts w:hint="default"/>
        <w:lang w:val="en-US" w:eastAsia="en-US" w:bidi="ar-SA"/>
      </w:rPr>
    </w:lvl>
    <w:lvl w:ilvl="3" w:tplc="F30CAC4E">
      <w:numFmt w:val="bullet"/>
      <w:lvlText w:val="•"/>
      <w:lvlJc w:val="left"/>
      <w:pPr>
        <w:ind w:left="2875" w:hanging="137"/>
      </w:pPr>
      <w:rPr>
        <w:rFonts w:hint="default"/>
        <w:lang w:val="en-US" w:eastAsia="en-US" w:bidi="ar-SA"/>
      </w:rPr>
    </w:lvl>
    <w:lvl w:ilvl="4" w:tplc="A4D051DE">
      <w:numFmt w:val="bullet"/>
      <w:lvlText w:val="•"/>
      <w:lvlJc w:val="left"/>
      <w:pPr>
        <w:ind w:left="3794" w:hanging="137"/>
      </w:pPr>
      <w:rPr>
        <w:rFonts w:hint="default"/>
        <w:lang w:val="en-US" w:eastAsia="en-US" w:bidi="ar-SA"/>
      </w:rPr>
    </w:lvl>
    <w:lvl w:ilvl="5" w:tplc="331E7CE0">
      <w:numFmt w:val="bullet"/>
      <w:lvlText w:val="•"/>
      <w:lvlJc w:val="left"/>
      <w:pPr>
        <w:ind w:left="4713" w:hanging="137"/>
      </w:pPr>
      <w:rPr>
        <w:rFonts w:hint="default"/>
        <w:lang w:val="en-US" w:eastAsia="en-US" w:bidi="ar-SA"/>
      </w:rPr>
    </w:lvl>
    <w:lvl w:ilvl="6" w:tplc="0B38C512">
      <w:numFmt w:val="bullet"/>
      <w:lvlText w:val="•"/>
      <w:lvlJc w:val="left"/>
      <w:pPr>
        <w:ind w:left="5631" w:hanging="137"/>
      </w:pPr>
      <w:rPr>
        <w:rFonts w:hint="default"/>
        <w:lang w:val="en-US" w:eastAsia="en-US" w:bidi="ar-SA"/>
      </w:rPr>
    </w:lvl>
    <w:lvl w:ilvl="7" w:tplc="F89635DA">
      <w:numFmt w:val="bullet"/>
      <w:lvlText w:val="•"/>
      <w:lvlJc w:val="left"/>
      <w:pPr>
        <w:ind w:left="6550" w:hanging="137"/>
      </w:pPr>
      <w:rPr>
        <w:rFonts w:hint="default"/>
        <w:lang w:val="en-US" w:eastAsia="en-US" w:bidi="ar-SA"/>
      </w:rPr>
    </w:lvl>
    <w:lvl w:ilvl="8" w:tplc="7EE6B5A4">
      <w:numFmt w:val="bullet"/>
      <w:lvlText w:val="•"/>
      <w:lvlJc w:val="left"/>
      <w:pPr>
        <w:ind w:left="7469" w:hanging="137"/>
      </w:pPr>
      <w:rPr>
        <w:rFonts w:hint="default"/>
        <w:lang w:val="en-US" w:eastAsia="en-US" w:bidi="ar-SA"/>
      </w:rPr>
    </w:lvl>
  </w:abstractNum>
  <w:num w:numId="1" w16cid:durableId="184616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0B"/>
    <w:rsid w:val="006607E9"/>
    <w:rsid w:val="006871FB"/>
    <w:rsid w:val="007A040B"/>
    <w:rsid w:val="007E297E"/>
    <w:rsid w:val="00850CF2"/>
    <w:rsid w:val="009907EB"/>
    <w:rsid w:val="00B22C80"/>
    <w:rsid w:val="00B65639"/>
    <w:rsid w:val="00D965D9"/>
    <w:rsid w:val="00FC19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CF16"/>
  <w15:docId w15:val="{07CA0410-536D-4304-A689-7EA74753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Naslov1">
    <w:name w:val="heading 1"/>
    <w:basedOn w:val="Normal"/>
    <w:uiPriority w:val="9"/>
    <w:qFormat/>
    <w:pPr>
      <w:ind w:left="226" w:right="225"/>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Naslov">
    <w:name w:val="Title"/>
    <w:basedOn w:val="Normal"/>
    <w:uiPriority w:val="10"/>
    <w:qFormat/>
    <w:pPr>
      <w:spacing w:before="1"/>
      <w:ind w:left="226" w:right="228"/>
      <w:jc w:val="center"/>
    </w:pPr>
    <w:rPr>
      <w:b/>
      <w:bCs/>
      <w:sz w:val="30"/>
      <w:szCs w:val="30"/>
      <w:u w:val="single" w:color="000000"/>
    </w:rPr>
  </w:style>
  <w:style w:type="paragraph" w:styleId="Odlomakpopisa">
    <w:name w:val="List Paragraph"/>
    <w:basedOn w:val="Normal"/>
    <w:uiPriority w:val="1"/>
    <w:qFormat/>
    <w:pPr>
      <w:spacing w:before="1"/>
      <w:ind w:left="116" w:hanging="119"/>
    </w:pPr>
  </w:style>
  <w:style w:type="paragraph" w:customStyle="1" w:styleId="TableParagraph">
    <w:name w:val="Table Paragraph"/>
    <w:basedOn w:val="Normal"/>
    <w:uiPriority w:val="1"/>
    <w:qFormat/>
    <w:pPr>
      <w:spacing w:line="248" w:lineRule="exact"/>
      <w:ind w:left="779" w:right="76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Vitasovic</dc:creator>
  <cp:lastModifiedBy>Paola</cp:lastModifiedBy>
  <cp:revision>4</cp:revision>
  <cp:lastPrinted>2022-09-05T07:19:00Z</cp:lastPrinted>
  <dcterms:created xsi:type="dcterms:W3CDTF">2022-09-05T07:34:00Z</dcterms:created>
  <dcterms:modified xsi:type="dcterms:W3CDTF">2022-09-05T08:37:00Z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2021-12-23T00:00:00Z</vt:filetime>
  </property>
  <property fmtid="{D5CDD505-2E9C-101B-9397-08002B2CF9AE}" pid="3" name="Creator">
    <vt:lpwstr>Microsoft® Word 2019</vt:lpwstr>
  </property>
  <property fmtid="{D5CDD505-2E9C-101B-9397-08002B2CF9AE}" pid="4" name="LastSaved">
    <vt:filetime>2022-09-05T00:00:00Z</vt:filetime>
  </property>
</Properties>
</file>